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DF5C" w14:textId="3CD7A032" w:rsidR="003F7F71" w:rsidRPr="003F7F71" w:rsidRDefault="003F7F7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3F7F7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Guidelines for the </w:t>
      </w:r>
      <w:r w:rsidR="00EA7A6A">
        <w:rPr>
          <w:rFonts w:ascii="Calibri-Bold" w:hAnsi="Calibri-Bold" w:cs="Calibri-Bold"/>
          <w:b/>
          <w:bCs/>
          <w:color w:val="000000"/>
          <w:sz w:val="32"/>
          <w:szCs w:val="32"/>
        </w:rPr>
        <w:t>C</w:t>
      </w:r>
      <w:r w:rsidR="00EA7A6A" w:rsidRPr="003F7F7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linical </w:t>
      </w:r>
      <w:r w:rsidR="00EA7A6A">
        <w:rPr>
          <w:rFonts w:ascii="Calibri-Bold" w:hAnsi="Calibri-Bold" w:cs="Calibri-Bold"/>
          <w:b/>
          <w:bCs/>
          <w:color w:val="000000"/>
          <w:sz w:val="32"/>
          <w:szCs w:val="32"/>
        </w:rPr>
        <w:t>M</w:t>
      </w:r>
      <w:r w:rsidR="00EA7A6A" w:rsidRPr="003F7F7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anagement </w:t>
      </w:r>
      <w:r w:rsidRPr="003F7F7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of </w:t>
      </w:r>
      <w:r w:rsidR="00EA7A6A">
        <w:rPr>
          <w:rFonts w:ascii="Calibri-Bold" w:hAnsi="Calibri-Bold" w:cs="Calibri-Bold"/>
          <w:b/>
          <w:bCs/>
          <w:color w:val="000000"/>
          <w:sz w:val="32"/>
          <w:szCs w:val="32"/>
        </w:rPr>
        <w:t>P</w:t>
      </w:r>
      <w:r w:rsidR="00250293">
        <w:rPr>
          <w:rFonts w:ascii="Calibri-Bold" w:hAnsi="Calibri-Bold" w:cs="Calibri-Bold"/>
          <w:b/>
          <w:bCs/>
          <w:color w:val="000000"/>
          <w:sz w:val="32"/>
          <w:szCs w:val="32"/>
        </w:rPr>
        <w:t>ossible Measles</w:t>
      </w:r>
    </w:p>
    <w:p w14:paraId="32C8DF5F" w14:textId="77777777" w:rsidR="003F7F71" w:rsidRDefault="003F7F7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</w:p>
    <w:p w14:paraId="32C8DF61" w14:textId="499E6214" w:rsidR="003F7F71" w:rsidRDefault="003F7F7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 xml:space="preserve">These guidelines apply to </w:t>
      </w:r>
      <w:r w:rsidR="009C7F64">
        <w:rPr>
          <w:rFonts w:ascii="Calibri-Italic" w:hAnsi="Calibri-Italic" w:cs="Calibri-Italic"/>
          <w:i/>
          <w:iCs/>
          <w:color w:val="000000"/>
        </w:rPr>
        <w:t>people of all ages with possible/suspected/proven measles</w:t>
      </w:r>
      <w:r w:rsidR="007213EC">
        <w:rPr>
          <w:rFonts w:ascii="Calibri-Italic" w:hAnsi="Calibri-Italic" w:cs="Calibri-Italic"/>
          <w:i/>
          <w:iCs/>
          <w:color w:val="000000"/>
        </w:rPr>
        <w:t>.</w:t>
      </w:r>
    </w:p>
    <w:p w14:paraId="32C8DF62" w14:textId="77777777" w:rsidR="003F7F71" w:rsidRDefault="003F7F7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</w:p>
    <w:p w14:paraId="37E70035" w14:textId="592FEDA1" w:rsidR="001A21ED" w:rsidRDefault="00A04D64" w:rsidP="00501B3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Situation</w:t>
      </w:r>
    </w:p>
    <w:p w14:paraId="2CC0285C" w14:textId="77777777" w:rsidR="00B21BE0" w:rsidRDefault="00B21BE0" w:rsidP="00501B3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14:paraId="3F6AE6B4" w14:textId="77777777" w:rsidR="00366778" w:rsidRDefault="00A04D64" w:rsidP="00501B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 w:rsidRPr="00681AED">
        <w:rPr>
          <w:rFonts w:ascii="Calibri" w:hAnsi="Calibri" w:cs="Calibri"/>
          <w:color w:val="000000"/>
        </w:rPr>
        <w:t xml:space="preserve">We are seeing multiple cases of Measles present in children and young adults across the motu.  Whilst initial cases </w:t>
      </w:r>
      <w:r w:rsidR="00194C4A" w:rsidRPr="00681AED">
        <w:rPr>
          <w:rFonts w:ascii="Calibri" w:hAnsi="Calibri" w:cs="Calibri"/>
          <w:color w:val="000000"/>
        </w:rPr>
        <w:t>had travelled overseas or had overseas links to explain transmission, this is no</w:t>
      </w:r>
      <w:r w:rsidR="00CF5206" w:rsidRPr="00681AED">
        <w:rPr>
          <w:rFonts w:ascii="Calibri" w:hAnsi="Calibri" w:cs="Calibri"/>
          <w:color w:val="000000"/>
        </w:rPr>
        <w:t xml:space="preserve"> longer </w:t>
      </w:r>
      <w:r w:rsidR="00F671C2" w:rsidRPr="00681AED">
        <w:rPr>
          <w:rFonts w:ascii="Calibri" w:hAnsi="Calibri" w:cs="Calibri"/>
          <w:color w:val="000000"/>
        </w:rPr>
        <w:t>true and indicates local transmission (ie within NZ).</w:t>
      </w:r>
    </w:p>
    <w:p w14:paraId="32B5C4F1" w14:textId="77777777" w:rsidR="00366778" w:rsidRDefault="00366778" w:rsidP="00501B3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14:paraId="3ABFB156" w14:textId="34A36396" w:rsidR="00681AED" w:rsidRPr="00366778" w:rsidRDefault="00681AED" w:rsidP="00501B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 w:rsidRPr="00366778">
        <w:rPr>
          <w:rFonts w:ascii="Calibri" w:hAnsi="Calibri" w:cs="Calibri"/>
          <w:color w:val="000000"/>
        </w:rPr>
        <w:t xml:space="preserve">Given low rates of immunisation cover, especially in Māori and Pacific populations, it is highly likely we will see more cases and more </w:t>
      </w:r>
      <w:r w:rsidR="00085D45">
        <w:rPr>
          <w:rFonts w:ascii="Calibri" w:hAnsi="Calibri" w:cs="Calibri"/>
          <w:color w:val="000000"/>
        </w:rPr>
        <w:t>district</w:t>
      </w:r>
      <w:r w:rsidRPr="00366778">
        <w:rPr>
          <w:rFonts w:ascii="Calibri" w:hAnsi="Calibri" w:cs="Calibri"/>
          <w:color w:val="000000"/>
        </w:rPr>
        <w:t>s affected.</w:t>
      </w:r>
    </w:p>
    <w:p w14:paraId="4110C0C2" w14:textId="77777777" w:rsidR="00681AED" w:rsidRPr="00366778" w:rsidRDefault="00681AED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202A760" w14:textId="6A594EBB" w:rsidR="00B21BE0" w:rsidRDefault="00B21BE0" w:rsidP="00501B3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Background</w:t>
      </w:r>
    </w:p>
    <w:p w14:paraId="503EBDC2" w14:textId="77777777" w:rsidR="00B21BE0" w:rsidRDefault="00B21BE0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B4D4616" w14:textId="77E4E1AC" w:rsidR="005E2BE7" w:rsidRDefault="00053641" w:rsidP="00501B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Currently,</w:t>
      </w:r>
      <w:r w:rsidR="00085D45">
        <w:rPr>
          <w:rFonts w:ascii="Calibri" w:hAnsi="Calibri" w:cs="Calibri"/>
          <w:color w:val="000000"/>
        </w:rPr>
        <w:t xml:space="preserve"> in BoP</w:t>
      </w:r>
      <w:r>
        <w:rPr>
          <w:rFonts w:ascii="Calibri" w:hAnsi="Calibri" w:cs="Calibri"/>
          <w:color w:val="000000"/>
        </w:rPr>
        <w:t xml:space="preserve"> only 73% of our </w:t>
      </w:r>
      <w:r w:rsidR="00B21BE0">
        <w:rPr>
          <w:rFonts w:ascii="Calibri" w:hAnsi="Calibri" w:cs="Calibri"/>
          <w:color w:val="000000"/>
        </w:rPr>
        <w:t>t</w:t>
      </w:r>
      <w:r w:rsidR="00D5711B">
        <w:rPr>
          <w:rFonts w:ascii="Calibri" w:hAnsi="Calibri" w:cs="Calibri"/>
          <w:color w:val="000000"/>
        </w:rPr>
        <w:t xml:space="preserve">amariki </w:t>
      </w:r>
      <w:r w:rsidR="009B6F1E">
        <w:rPr>
          <w:rFonts w:ascii="Calibri" w:hAnsi="Calibri" w:cs="Calibri"/>
          <w:color w:val="000000"/>
        </w:rPr>
        <w:t>at 24 months are fully immunised with 9</w:t>
      </w:r>
      <w:r w:rsidR="0053569C">
        <w:rPr>
          <w:rFonts w:ascii="Calibri" w:hAnsi="Calibri" w:cs="Calibri"/>
          <w:color w:val="000000"/>
        </w:rPr>
        <w:t>5</w:t>
      </w:r>
      <w:r w:rsidR="009B6F1E">
        <w:rPr>
          <w:rFonts w:ascii="Calibri" w:hAnsi="Calibri" w:cs="Calibri"/>
          <w:color w:val="000000"/>
        </w:rPr>
        <w:t xml:space="preserve">% coverage required to ensure herd immunity.  </w:t>
      </w:r>
      <w:r w:rsidR="00EA7A6A">
        <w:rPr>
          <w:rFonts w:ascii="Calibri" w:hAnsi="Calibri" w:cs="Calibri"/>
          <w:color w:val="000000"/>
        </w:rPr>
        <w:t xml:space="preserve">This </w:t>
      </w:r>
      <w:r w:rsidR="00716C8F">
        <w:rPr>
          <w:rFonts w:ascii="Calibri" w:hAnsi="Calibri" w:cs="Calibri"/>
          <w:color w:val="000000"/>
        </w:rPr>
        <w:t>means there are large numbers of children and young adults at risk of acquiring measles with our Māori and Pacific communities particularly vulnerable.</w:t>
      </w:r>
    </w:p>
    <w:p w14:paraId="217D06B8" w14:textId="77777777" w:rsidR="0091388C" w:rsidRPr="0091388C" w:rsidRDefault="0091388C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5DACA92" w14:textId="2EDFDABA" w:rsidR="005E2BE7" w:rsidRDefault="005E2BE7" w:rsidP="00501B3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Assessment – Awareness and Vigilance for possible cases</w:t>
      </w:r>
    </w:p>
    <w:p w14:paraId="029CFAC7" w14:textId="77777777" w:rsidR="005E2BE7" w:rsidRPr="005E2BE7" w:rsidRDefault="005E2BE7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4AEFB2F" w14:textId="5A856E8E" w:rsidR="001A21ED" w:rsidRDefault="00A3779A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Be vigilant for people with measles symptoms:</w:t>
      </w:r>
    </w:p>
    <w:p w14:paraId="2FE0D112" w14:textId="5FF21358" w:rsidR="00A3779A" w:rsidRDefault="00A3779A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Fever</w:t>
      </w:r>
    </w:p>
    <w:p w14:paraId="407E4EB0" w14:textId="2396365F" w:rsidR="00A3779A" w:rsidRDefault="001626CF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Cough</w:t>
      </w:r>
      <w:r w:rsidR="00790468">
        <w:rPr>
          <w:rFonts w:ascii="Calibri-Italic" w:hAnsi="Calibri-Italic" w:cs="Calibri-Italic"/>
          <w:color w:val="000000"/>
        </w:rPr>
        <w:t>, coryza, conjun</w:t>
      </w:r>
      <w:r w:rsidR="0053224B">
        <w:rPr>
          <w:rFonts w:ascii="Calibri-Italic" w:hAnsi="Calibri-Italic" w:cs="Calibri-Italic"/>
          <w:color w:val="000000"/>
        </w:rPr>
        <w:t>ctivitis</w:t>
      </w:r>
    </w:p>
    <w:p w14:paraId="04A6D53F" w14:textId="2F7EBC3F" w:rsidR="001626CF" w:rsidRPr="008C37D8" w:rsidRDefault="001626CF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Rash (often develops after </w:t>
      </w:r>
      <w:r w:rsidR="00B37DBB">
        <w:rPr>
          <w:rFonts w:ascii="Calibri-Italic" w:hAnsi="Calibri-Italic" w:cs="Calibri-Italic"/>
          <w:color w:val="000000"/>
        </w:rPr>
        <w:t>several days of above prodromal symptoms)</w:t>
      </w:r>
      <w:r w:rsidR="00DD7F00">
        <w:rPr>
          <w:rFonts w:ascii="Calibri-Italic" w:hAnsi="Calibri-Italic" w:cs="Calibri-Italic"/>
          <w:color w:val="000000"/>
        </w:rPr>
        <w:t xml:space="preserve"> see DermNet</w:t>
      </w:r>
      <w:r w:rsidR="00EA7A6A">
        <w:rPr>
          <w:rFonts w:ascii="Calibri-Italic" w:hAnsi="Calibri-Italic" w:cs="Calibri-Italic"/>
          <w:color w:val="000000"/>
        </w:rPr>
        <w:t xml:space="preserve"> </w:t>
      </w:r>
      <w:r w:rsidR="00DD7F00">
        <w:rPr>
          <w:rFonts w:ascii="Calibri-Italic" w:hAnsi="Calibri-Italic" w:cs="Calibri-Italic"/>
          <w:color w:val="000000"/>
        </w:rPr>
        <w:t xml:space="preserve">NZ for examples - </w:t>
      </w:r>
      <w:hyperlink r:id="rId5" w:history="1">
        <w:r w:rsidR="00DD7F00" w:rsidRPr="00DD7F00">
          <w:rPr>
            <w:rStyle w:val="Hyperlink"/>
            <w:rFonts w:ascii="Calibri-Italic" w:hAnsi="Calibri-Italic" w:cs="Calibri-Italic"/>
          </w:rPr>
          <w:t>Measles (morbilli)</w:t>
        </w:r>
      </w:hyperlink>
    </w:p>
    <w:p w14:paraId="4D9C1563" w14:textId="77777777" w:rsidR="008C37D8" w:rsidRDefault="008C37D8" w:rsidP="008C37D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-Italic" w:hAnsi="Calibri-Italic" w:cs="Calibri-Italic"/>
          <w:color w:val="000000"/>
        </w:rPr>
      </w:pPr>
    </w:p>
    <w:p w14:paraId="2162FE95" w14:textId="7B37BB82" w:rsidR="00291497" w:rsidRDefault="00F315FF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Be aware that those who are partially immunised or immunosuppressed may present with more atypical symptoms </w:t>
      </w:r>
      <w:r w:rsidR="002D524D">
        <w:rPr>
          <w:rFonts w:ascii="Calibri-Italic" w:hAnsi="Calibri-Italic" w:cs="Calibri-Italic"/>
          <w:color w:val="000000"/>
        </w:rPr>
        <w:t>or</w:t>
      </w:r>
      <w:r w:rsidR="00EA7A6A">
        <w:rPr>
          <w:rFonts w:ascii="Calibri-Italic" w:hAnsi="Calibri-Italic" w:cs="Calibri-Italic"/>
          <w:color w:val="000000"/>
        </w:rPr>
        <w:t xml:space="preserve"> a</w:t>
      </w:r>
      <w:r w:rsidR="002D524D">
        <w:rPr>
          <w:rFonts w:ascii="Calibri-Italic" w:hAnsi="Calibri-Italic" w:cs="Calibri-Italic"/>
          <w:color w:val="000000"/>
        </w:rPr>
        <w:t xml:space="preserve"> milder clinical picture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4E5EEBDB" w14:textId="77777777" w:rsidR="00685745" w:rsidRDefault="00685745" w:rsidP="00501B3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-Italic" w:hAnsi="Calibri-Italic" w:cs="Calibri-Italic"/>
          <w:color w:val="000000"/>
        </w:rPr>
      </w:pPr>
    </w:p>
    <w:p w14:paraId="5C4AB02F" w14:textId="1802CBB8" w:rsidR="000927AF" w:rsidRDefault="000927AF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Have particular concern if recently arrived in or returned to Aotearoa </w:t>
      </w:r>
      <w:r w:rsidR="00714BDD">
        <w:rPr>
          <w:rFonts w:ascii="Calibri-Italic" w:hAnsi="Calibri-Italic" w:cs="Calibri-Italic"/>
          <w:color w:val="000000"/>
        </w:rPr>
        <w:t>from overseas</w:t>
      </w:r>
      <w:r w:rsidR="004E5200">
        <w:rPr>
          <w:rFonts w:ascii="Calibri-Italic" w:hAnsi="Calibri-Italic" w:cs="Calibri-Italic"/>
          <w:color w:val="000000"/>
        </w:rPr>
        <w:t xml:space="preserve"> or if they have</w:t>
      </w:r>
      <w:r w:rsidR="00866851">
        <w:rPr>
          <w:rFonts w:ascii="Calibri-Italic" w:hAnsi="Calibri-Italic" w:cs="Calibri-Italic"/>
          <w:color w:val="000000"/>
        </w:rPr>
        <w:t xml:space="preserve"> been in any of the listed locations of interest (from existing cases)</w:t>
      </w:r>
      <w:r w:rsidR="0064282C">
        <w:rPr>
          <w:rFonts w:ascii="Calibri-Italic" w:hAnsi="Calibri-Italic" w:cs="Calibri-Italic"/>
          <w:color w:val="000000"/>
        </w:rPr>
        <w:t xml:space="preserve"> </w:t>
      </w:r>
      <w:hyperlink r:id="rId6" w:anchor="new-locations-of-interest-17809" w:history="1">
        <w:r w:rsidR="0064282C" w:rsidRPr="0064282C">
          <w:rPr>
            <w:rStyle w:val="Hyperlink"/>
            <w:rFonts w:ascii="Calibri-Italic" w:hAnsi="Calibri-Italic" w:cs="Calibri-Italic"/>
          </w:rPr>
          <w:t>Measles: Locations of interest in Aotearoa New Zealand</w:t>
        </w:r>
      </w:hyperlink>
      <w:r w:rsidR="00866851">
        <w:rPr>
          <w:rFonts w:ascii="Calibri-Italic" w:hAnsi="Calibri-Italic" w:cs="Calibri-Italic"/>
          <w:color w:val="000000"/>
        </w:rPr>
        <w:t xml:space="preserve"> – triage all </w:t>
      </w:r>
      <w:r w:rsidR="006D3037">
        <w:rPr>
          <w:rFonts w:ascii="Calibri-Italic" w:hAnsi="Calibri-Italic" w:cs="Calibri-Italic"/>
          <w:color w:val="000000"/>
        </w:rPr>
        <w:t>such patients with fever as infectious and initially assess in isolation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391EF7DE" w14:textId="77777777" w:rsidR="00685745" w:rsidRDefault="00685745" w:rsidP="00501B3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color w:val="000000"/>
        </w:rPr>
      </w:pPr>
    </w:p>
    <w:p w14:paraId="0D8810DE" w14:textId="51EDA9CE" w:rsidR="0091077F" w:rsidRDefault="00E70C71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Whilst we think about measles as being a childhood illness </w:t>
      </w:r>
      <w:r w:rsidR="00FE5E3D">
        <w:rPr>
          <w:rFonts w:ascii="Calibri-Italic" w:hAnsi="Calibri-Italic" w:cs="Calibri-Italic"/>
          <w:color w:val="000000"/>
        </w:rPr>
        <w:t xml:space="preserve">many of the recent cases have been in adults so remain </w:t>
      </w:r>
      <w:r w:rsidR="0091077F">
        <w:rPr>
          <w:rFonts w:ascii="Calibri-Italic" w:hAnsi="Calibri-Italic" w:cs="Calibri-Italic"/>
          <w:color w:val="000000"/>
        </w:rPr>
        <w:t>vigilant across ages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3D1FE7D5" w14:textId="77777777" w:rsidR="0091077F" w:rsidRPr="0091077F" w:rsidRDefault="0091077F" w:rsidP="00501B3B">
      <w:pPr>
        <w:pStyle w:val="ListParagraph"/>
        <w:jc w:val="both"/>
        <w:rPr>
          <w:rFonts w:ascii="Calibri-Italic" w:hAnsi="Calibri-Italic" w:cs="Calibri-Italic"/>
          <w:color w:val="000000"/>
        </w:rPr>
      </w:pPr>
    </w:p>
    <w:p w14:paraId="2D269B48" w14:textId="48558A92" w:rsidR="0091077F" w:rsidRDefault="004C0443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Take an immunisation history</w:t>
      </w:r>
      <w:r w:rsidR="00EA7A6A">
        <w:rPr>
          <w:rFonts w:ascii="Calibri-Italic" w:hAnsi="Calibri-Italic" w:cs="Calibri-Italic"/>
          <w:color w:val="000000"/>
        </w:rPr>
        <w:t>,</w:t>
      </w:r>
      <w:r>
        <w:rPr>
          <w:rFonts w:ascii="Calibri-Italic" w:hAnsi="Calibri-Italic" w:cs="Calibri-Italic"/>
          <w:color w:val="000000"/>
        </w:rPr>
        <w:t xml:space="preserve"> but if highly suspicious from the history and examination</w:t>
      </w:r>
      <w:r w:rsidR="00EA7A6A">
        <w:rPr>
          <w:rFonts w:ascii="Calibri-Italic" w:hAnsi="Calibri-Italic" w:cs="Calibri-Italic"/>
          <w:color w:val="000000"/>
        </w:rPr>
        <w:t>, isolate and</w:t>
      </w:r>
      <w:r>
        <w:rPr>
          <w:rFonts w:ascii="Calibri-Italic" w:hAnsi="Calibri-Italic" w:cs="Calibri-Italic"/>
          <w:color w:val="000000"/>
        </w:rPr>
        <w:t xml:space="preserve"> test anyway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6DBDFAFC" w14:textId="77777777" w:rsidR="000A62B7" w:rsidRPr="000A62B7" w:rsidRDefault="000A62B7" w:rsidP="00501B3B">
      <w:pPr>
        <w:pStyle w:val="ListParagraph"/>
        <w:jc w:val="both"/>
        <w:rPr>
          <w:rFonts w:ascii="Calibri-Italic" w:hAnsi="Calibri-Italic" w:cs="Calibri-Italic"/>
          <w:color w:val="000000"/>
        </w:rPr>
      </w:pPr>
    </w:p>
    <w:p w14:paraId="62B5A669" w14:textId="33104FE4" w:rsidR="000A62B7" w:rsidRDefault="001731A2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Signs are being placed</w:t>
      </w:r>
      <w:r w:rsidR="009C7CBB">
        <w:rPr>
          <w:rFonts w:ascii="Calibri-Italic" w:hAnsi="Calibri-Italic" w:cs="Calibri-Italic"/>
          <w:color w:val="000000"/>
        </w:rPr>
        <w:t xml:space="preserve"> at the doors to healthcare providers (</w:t>
      </w:r>
      <w:r w:rsidR="00C63D2D">
        <w:rPr>
          <w:rFonts w:ascii="Calibri-Italic" w:hAnsi="Calibri-Italic" w:cs="Calibri-Italic"/>
          <w:color w:val="000000"/>
        </w:rPr>
        <w:t xml:space="preserve">GP surgeries, hospitals, Hauora etc).  These list common symptoms and ask </w:t>
      </w:r>
      <w:r w:rsidR="000D7A0A">
        <w:rPr>
          <w:rFonts w:ascii="Calibri-Italic" w:hAnsi="Calibri-Italic" w:cs="Calibri-Italic"/>
          <w:color w:val="000000"/>
        </w:rPr>
        <w:t xml:space="preserve">those attending with such symptoms not to come inside but to call a given number for that provider.  For </w:t>
      </w:r>
      <w:r w:rsidR="00E732A8">
        <w:rPr>
          <w:rFonts w:ascii="Calibri-Italic" w:hAnsi="Calibri-Italic" w:cs="Calibri-Italic"/>
          <w:color w:val="000000"/>
        </w:rPr>
        <w:t>the Emergency Departments at our hospitals</w:t>
      </w:r>
      <w:r w:rsidR="00EA7A6A">
        <w:rPr>
          <w:rFonts w:ascii="Calibri-Italic" w:hAnsi="Calibri-Italic" w:cs="Calibri-Italic"/>
          <w:color w:val="000000"/>
        </w:rPr>
        <w:t>,</w:t>
      </w:r>
      <w:r w:rsidR="00E732A8">
        <w:rPr>
          <w:rFonts w:ascii="Calibri-Italic" w:hAnsi="Calibri-Italic" w:cs="Calibri-Italic"/>
          <w:color w:val="000000"/>
        </w:rPr>
        <w:t xml:space="preserve"> these are </w:t>
      </w:r>
      <w:r w:rsidR="0048616D">
        <w:rPr>
          <w:rFonts w:ascii="Calibri-Italic" w:hAnsi="Calibri-Italic" w:cs="Calibri-Italic"/>
          <w:color w:val="000000"/>
        </w:rPr>
        <w:t>07 579 8415 for Tauranga and 027 705 8125 for Whakatāne and will connect them to the senior charge nurse or co-ordinator in the department.</w:t>
      </w:r>
      <w:r w:rsidR="00C73499">
        <w:rPr>
          <w:rFonts w:ascii="Calibri-Italic" w:hAnsi="Calibri-Italic" w:cs="Calibri-Italic"/>
          <w:color w:val="000000"/>
        </w:rPr>
        <w:t xml:space="preserve">  Staff can then collect the patient wearing N95 masks and take them directly to </w:t>
      </w:r>
      <w:r w:rsidR="003475D0">
        <w:rPr>
          <w:rFonts w:ascii="Calibri-Italic" w:hAnsi="Calibri-Italic" w:cs="Calibri-Italic"/>
          <w:color w:val="000000"/>
        </w:rPr>
        <w:t>isolation where they can be assessed without exposing others in the waiting room.</w:t>
      </w:r>
    </w:p>
    <w:p w14:paraId="43F4500C" w14:textId="77777777" w:rsidR="003E1DB5" w:rsidRPr="002D524D" w:rsidRDefault="003E1DB5" w:rsidP="00501B3B">
      <w:pPr>
        <w:jc w:val="both"/>
        <w:rPr>
          <w:rFonts w:ascii="Calibri-Italic" w:hAnsi="Calibri-Italic" w:cs="Calibri-Italic"/>
          <w:color w:val="000000"/>
        </w:rPr>
      </w:pPr>
    </w:p>
    <w:p w14:paraId="55E08B82" w14:textId="01BB78C8" w:rsidR="00B25D19" w:rsidRPr="001A2F1C" w:rsidRDefault="001A2F1C" w:rsidP="00501B3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lastRenderedPageBreak/>
        <w:t>Response – testing, notifying and managing</w:t>
      </w:r>
    </w:p>
    <w:p w14:paraId="4C3D7E9A" w14:textId="77777777" w:rsidR="000A62B7" w:rsidRDefault="000A62B7" w:rsidP="00501B3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color w:val="000000"/>
        </w:rPr>
      </w:pPr>
    </w:p>
    <w:p w14:paraId="3C2918E1" w14:textId="2DA80EBE" w:rsidR="00D73B9D" w:rsidRDefault="00D73B9D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Test anyone you are concerned may have measles</w:t>
      </w:r>
      <w:r w:rsidR="00EA7A6A">
        <w:rPr>
          <w:rFonts w:ascii="Calibri-Italic" w:hAnsi="Calibri-Italic" w:cs="Calibri-Italic"/>
          <w:color w:val="000000"/>
        </w:rPr>
        <w:t xml:space="preserve"> and isolate.</w:t>
      </w:r>
    </w:p>
    <w:p w14:paraId="4A7F3B6F" w14:textId="77777777" w:rsidR="00D73B9D" w:rsidRDefault="00D73B9D" w:rsidP="00501B3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color w:val="000000"/>
        </w:rPr>
      </w:pPr>
    </w:p>
    <w:p w14:paraId="61513FFC" w14:textId="1F733E70" w:rsidR="00515A8F" w:rsidRDefault="00B25D19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Do not send to a community lab for testing – if seeing in primary care</w:t>
      </w:r>
      <w:r w:rsidR="000A62B7">
        <w:rPr>
          <w:rFonts w:ascii="Calibri-Italic" w:hAnsi="Calibri-Italic" w:cs="Calibri-Italic"/>
          <w:color w:val="000000"/>
        </w:rPr>
        <w:t>,</w:t>
      </w:r>
      <w:r>
        <w:rPr>
          <w:rFonts w:ascii="Calibri-Italic" w:hAnsi="Calibri-Italic" w:cs="Calibri-Italic"/>
          <w:color w:val="000000"/>
        </w:rPr>
        <w:t xml:space="preserve"> test on site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7CC7718A" w14:textId="77777777" w:rsidR="00515A8F" w:rsidRPr="00515A8F" w:rsidRDefault="00515A8F" w:rsidP="00501B3B">
      <w:pPr>
        <w:pStyle w:val="ListParagraph"/>
        <w:jc w:val="both"/>
        <w:rPr>
          <w:rFonts w:ascii="Calibri-Italic" w:hAnsi="Calibri-Italic" w:cs="Calibri-Italic"/>
          <w:color w:val="000000"/>
        </w:rPr>
      </w:pPr>
    </w:p>
    <w:p w14:paraId="5CECA01D" w14:textId="0F47F8D6" w:rsidR="00515A8F" w:rsidRDefault="00515A8F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Take a nasopharyngeal viral swab </w:t>
      </w:r>
      <w:r w:rsidR="000D25D4">
        <w:rPr>
          <w:rFonts w:ascii="Calibri-Italic" w:hAnsi="Calibri-Italic" w:cs="Calibri-Italic"/>
          <w:color w:val="000000"/>
        </w:rPr>
        <w:t xml:space="preserve">(same as used for Influenza or Pertussis) and send to the lab – calling the </w:t>
      </w:r>
      <w:r w:rsidR="00EA7A6A">
        <w:rPr>
          <w:rFonts w:ascii="Calibri-Italic" w:hAnsi="Calibri-Italic" w:cs="Calibri-Italic"/>
          <w:color w:val="000000"/>
        </w:rPr>
        <w:t>Clinical Microbiologist on call</w:t>
      </w:r>
      <w:r w:rsidR="000D25D4">
        <w:rPr>
          <w:rFonts w:ascii="Calibri-Italic" w:hAnsi="Calibri-Italic" w:cs="Calibri-Italic"/>
          <w:color w:val="000000"/>
        </w:rPr>
        <w:t xml:space="preserve"> to let them know there is a </w:t>
      </w:r>
      <w:r w:rsidR="00F847D3">
        <w:rPr>
          <w:rFonts w:ascii="Calibri-Italic" w:hAnsi="Calibri-Italic" w:cs="Calibri-Italic"/>
          <w:color w:val="000000"/>
        </w:rPr>
        <w:t>swab for measles PCR coming so that it is prioritised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0D8EE849" w14:textId="77777777" w:rsidR="00F847D3" w:rsidRPr="00F847D3" w:rsidRDefault="00F847D3" w:rsidP="00501B3B">
      <w:pPr>
        <w:pStyle w:val="ListParagraph"/>
        <w:jc w:val="both"/>
        <w:rPr>
          <w:rFonts w:ascii="Calibri-Italic" w:hAnsi="Calibri-Italic" w:cs="Calibri-Italic"/>
          <w:color w:val="000000"/>
        </w:rPr>
      </w:pPr>
    </w:p>
    <w:p w14:paraId="0C46A75A" w14:textId="07066BE0" w:rsidR="00F847D3" w:rsidRDefault="00F847D3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r>
        <w:rPr>
          <w:rFonts w:ascii="Calibri-Italic" w:hAnsi="Calibri-Italic" w:cs="Calibri-Italic"/>
          <w:color w:val="000000"/>
        </w:rPr>
        <w:t>Notify the Medical Officer of Health</w:t>
      </w:r>
      <w:r w:rsidR="00A10349">
        <w:rPr>
          <w:rFonts w:ascii="Calibri-Italic" w:hAnsi="Calibri-Italic" w:cs="Calibri-Italic"/>
          <w:color w:val="000000"/>
        </w:rPr>
        <w:t xml:space="preserve"> via the hospital switchboard (07 579 8000)</w:t>
      </w:r>
      <w:r w:rsidR="00040CB3">
        <w:rPr>
          <w:rFonts w:ascii="Calibri-Italic" w:hAnsi="Calibri-Italic" w:cs="Calibri-Italic"/>
          <w:color w:val="000000"/>
        </w:rPr>
        <w:t xml:space="preserve"> even if only a possible case</w:t>
      </w:r>
      <w:r w:rsidR="00EA7A6A">
        <w:rPr>
          <w:rFonts w:ascii="Calibri-Italic" w:hAnsi="Calibri-Italic" w:cs="Calibri-Italic"/>
          <w:color w:val="000000"/>
        </w:rPr>
        <w:t>.</w:t>
      </w:r>
      <w:r w:rsidR="003424EC">
        <w:rPr>
          <w:rFonts w:ascii="Calibri-Italic" w:hAnsi="Calibri-Italic" w:cs="Calibri-Italic"/>
          <w:color w:val="000000"/>
        </w:rPr>
        <w:t xml:space="preserve"> Do NOT send an e-referral – call </w:t>
      </w:r>
      <w:r w:rsidR="00456E62">
        <w:rPr>
          <w:rFonts w:ascii="Calibri-Italic" w:hAnsi="Calibri-Italic" w:cs="Calibri-Italic"/>
          <w:color w:val="000000"/>
        </w:rPr>
        <w:t>directly day or night.</w:t>
      </w:r>
    </w:p>
    <w:p w14:paraId="14F35141" w14:textId="77777777" w:rsidR="003E1DB5" w:rsidRPr="003E1DB5" w:rsidRDefault="003E1DB5" w:rsidP="00501B3B">
      <w:pPr>
        <w:pStyle w:val="ListParagraph"/>
        <w:jc w:val="both"/>
        <w:rPr>
          <w:rFonts w:ascii="Calibri-Italic" w:hAnsi="Calibri-Italic" w:cs="Calibri-Italic"/>
          <w:color w:val="000000"/>
        </w:rPr>
      </w:pPr>
    </w:p>
    <w:p w14:paraId="3C00AD98" w14:textId="2884F1D3" w:rsidR="005E2BE7" w:rsidRPr="00813E9B" w:rsidRDefault="007F1FE6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 w:rsidRPr="00133838">
        <w:rPr>
          <w:rFonts w:ascii="Calibri-Italic" w:hAnsi="Calibri-Italic" w:cs="Calibri-Italic"/>
          <w:color w:val="000000"/>
        </w:rPr>
        <w:t>Assess the need for hospital admission</w:t>
      </w:r>
      <w:r w:rsidR="00133838" w:rsidRPr="00133838">
        <w:rPr>
          <w:rFonts w:ascii="Calibri-Italic" w:hAnsi="Calibri-Italic" w:cs="Calibri-Italic"/>
          <w:color w:val="000000"/>
        </w:rPr>
        <w:t xml:space="preserve"> – about 10</w:t>
      </w:r>
      <w:r w:rsidR="00133838">
        <w:rPr>
          <w:rFonts w:ascii="Calibri-Italic" w:hAnsi="Calibri-Italic" w:cs="Calibri-Italic"/>
          <w:color w:val="000000"/>
        </w:rPr>
        <w:t>% cases develop complications but most can manage at home with supportive care</w:t>
      </w:r>
      <w:r w:rsidR="003B16D3">
        <w:rPr>
          <w:rFonts w:ascii="Calibri-Italic" w:hAnsi="Calibri-Italic" w:cs="Calibri-Italic"/>
          <w:color w:val="000000"/>
        </w:rPr>
        <w:t>.  Also consider differential diagnosis and other investigations or treatment that may be required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1E878941" w14:textId="77777777" w:rsidR="00813E9B" w:rsidRPr="00813E9B" w:rsidRDefault="00813E9B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0760902B" w14:textId="2B254A7C" w:rsidR="00813E9B" w:rsidRPr="001B1AFF" w:rsidRDefault="007559D0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>If the patient is going home</w:t>
      </w:r>
      <w:r w:rsidR="00EA7A6A">
        <w:rPr>
          <w:rFonts w:ascii="Calibri-Italic" w:hAnsi="Calibri-Italic" w:cs="Calibri-Italic"/>
          <w:color w:val="000000"/>
        </w:rPr>
        <w:t>,</w:t>
      </w:r>
      <w:r>
        <w:rPr>
          <w:rFonts w:ascii="Calibri-Italic" w:hAnsi="Calibri-Italic" w:cs="Calibri-Italic"/>
          <w:color w:val="000000"/>
        </w:rPr>
        <w:t xml:space="preserve"> they must</w:t>
      </w:r>
      <w:r w:rsidR="003D47B2">
        <w:rPr>
          <w:rFonts w:ascii="Calibri-Italic" w:hAnsi="Calibri-Italic" w:cs="Calibri-Italic"/>
          <w:color w:val="000000"/>
        </w:rPr>
        <w:t xml:space="preserve"> isolate at home until </w:t>
      </w:r>
      <w:r w:rsidR="006E6957">
        <w:rPr>
          <w:rFonts w:ascii="Calibri-Italic" w:hAnsi="Calibri-Italic" w:cs="Calibri-Italic"/>
          <w:color w:val="000000"/>
        </w:rPr>
        <w:t xml:space="preserve">contacted by </w:t>
      </w:r>
      <w:r w:rsidR="00736DEB">
        <w:rPr>
          <w:rFonts w:ascii="Calibri-Italic" w:hAnsi="Calibri-Italic" w:cs="Calibri-Italic"/>
          <w:color w:val="000000"/>
        </w:rPr>
        <w:t>Toi Te Ora P</w:t>
      </w:r>
      <w:r w:rsidR="006E6957">
        <w:rPr>
          <w:rFonts w:ascii="Calibri-Italic" w:hAnsi="Calibri-Italic" w:cs="Calibri-Italic"/>
          <w:color w:val="000000"/>
        </w:rPr>
        <w:t xml:space="preserve">ublic </w:t>
      </w:r>
      <w:r w:rsidR="00736DEB">
        <w:rPr>
          <w:rFonts w:ascii="Calibri-Italic" w:hAnsi="Calibri-Italic" w:cs="Calibri-Italic"/>
          <w:color w:val="000000"/>
        </w:rPr>
        <w:t>H</w:t>
      </w:r>
      <w:r w:rsidR="006E6957">
        <w:rPr>
          <w:rFonts w:ascii="Calibri-Italic" w:hAnsi="Calibri-Italic" w:cs="Calibri-Italic"/>
          <w:color w:val="000000"/>
        </w:rPr>
        <w:t>ealth</w:t>
      </w:r>
      <w:r w:rsidR="00EA7A6A">
        <w:rPr>
          <w:rFonts w:ascii="Calibri-Italic" w:hAnsi="Calibri-Italic" w:cs="Calibri-Italic"/>
          <w:color w:val="000000"/>
        </w:rPr>
        <w:t>.</w:t>
      </w:r>
    </w:p>
    <w:p w14:paraId="2AA15D44" w14:textId="77777777" w:rsidR="001B1AFF" w:rsidRPr="001B1AFF" w:rsidRDefault="001B1AFF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2979398B" w14:textId="3C7C0A47" w:rsidR="001B1AFF" w:rsidRPr="009F651F" w:rsidRDefault="003B6EE5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>If referring a possible measles case to hospital</w:t>
      </w:r>
      <w:r w:rsidR="00EA7A6A">
        <w:rPr>
          <w:rFonts w:ascii="Calibri-Italic" w:hAnsi="Calibri-Italic" w:cs="Calibri-Italic"/>
          <w:color w:val="000000"/>
        </w:rPr>
        <w:t>,</w:t>
      </w:r>
      <w:r w:rsidR="004A5565">
        <w:rPr>
          <w:rFonts w:ascii="Calibri-Italic" w:hAnsi="Calibri-Italic" w:cs="Calibri-Italic"/>
          <w:color w:val="000000"/>
        </w:rPr>
        <w:t xml:space="preserve"> the referrer must </w:t>
      </w:r>
      <w:r w:rsidR="00D9564D">
        <w:rPr>
          <w:rFonts w:ascii="Calibri-Italic" w:hAnsi="Calibri-Italic" w:cs="Calibri-Italic"/>
          <w:color w:val="000000"/>
        </w:rPr>
        <w:t>inform</w:t>
      </w:r>
      <w:r w:rsidR="00B532CD">
        <w:rPr>
          <w:rFonts w:ascii="Calibri-Italic" w:hAnsi="Calibri-Italic" w:cs="Calibri-Italic"/>
          <w:color w:val="000000"/>
        </w:rPr>
        <w:t xml:space="preserve"> the receiving </w:t>
      </w:r>
      <w:r w:rsidR="00823D4E">
        <w:rPr>
          <w:rFonts w:ascii="Calibri-Italic" w:hAnsi="Calibri-Italic" w:cs="Calibri-Italic"/>
          <w:color w:val="000000"/>
        </w:rPr>
        <w:t xml:space="preserve">service </w:t>
      </w:r>
      <w:r w:rsidR="00D9564D">
        <w:rPr>
          <w:rFonts w:ascii="Calibri-Italic" w:hAnsi="Calibri-Italic" w:cs="Calibri-Italic"/>
          <w:color w:val="000000"/>
        </w:rPr>
        <w:t>of</w:t>
      </w:r>
      <w:r w:rsidR="00823D4E">
        <w:rPr>
          <w:rFonts w:ascii="Calibri-Italic" w:hAnsi="Calibri-Italic" w:cs="Calibri-Italic"/>
          <w:color w:val="000000"/>
        </w:rPr>
        <w:t xml:space="preserve"> the potential for measles.  </w:t>
      </w:r>
      <w:r w:rsidR="00ED105C">
        <w:rPr>
          <w:rFonts w:ascii="Calibri-Italic" w:hAnsi="Calibri-Italic" w:cs="Calibri-Italic"/>
          <w:color w:val="000000"/>
        </w:rPr>
        <w:t>If t</w:t>
      </w:r>
      <w:r w:rsidR="0046651B">
        <w:rPr>
          <w:rFonts w:ascii="Calibri-Italic" w:hAnsi="Calibri-Italic" w:cs="Calibri-Italic"/>
          <w:color w:val="000000"/>
        </w:rPr>
        <w:t xml:space="preserve">hey need ambulance transport, Hato Hone St John must also be informed.  </w:t>
      </w:r>
      <w:r w:rsidR="00E06941">
        <w:rPr>
          <w:rFonts w:ascii="Calibri-Italic" w:hAnsi="Calibri-Italic" w:cs="Calibri-Italic"/>
          <w:color w:val="000000"/>
        </w:rPr>
        <w:t xml:space="preserve">They must not travel to hospital on public transport.  </w:t>
      </w:r>
      <w:r w:rsidR="00823D4E">
        <w:rPr>
          <w:rFonts w:ascii="Calibri-Italic" w:hAnsi="Calibri-Italic" w:cs="Calibri-Italic"/>
          <w:color w:val="000000"/>
        </w:rPr>
        <w:t>Tell the patient</w:t>
      </w:r>
      <w:r w:rsidR="002C4B38">
        <w:rPr>
          <w:rFonts w:ascii="Calibri-Italic" w:hAnsi="Calibri-Italic" w:cs="Calibri-Italic"/>
          <w:color w:val="000000"/>
        </w:rPr>
        <w:t>/caregiver</w:t>
      </w:r>
      <w:r w:rsidR="00823D4E">
        <w:rPr>
          <w:rFonts w:ascii="Calibri-Italic" w:hAnsi="Calibri-Italic" w:cs="Calibri-Italic"/>
          <w:color w:val="000000"/>
        </w:rPr>
        <w:t xml:space="preserve"> to wait outside (in the</w:t>
      </w:r>
      <w:r w:rsidR="00E06941">
        <w:rPr>
          <w:rFonts w:ascii="Calibri-Italic" w:hAnsi="Calibri-Italic" w:cs="Calibri-Italic"/>
          <w:color w:val="000000"/>
        </w:rPr>
        <w:t xml:space="preserve"> car if they took their own tran</w:t>
      </w:r>
      <w:r w:rsidR="002C4B38">
        <w:rPr>
          <w:rFonts w:ascii="Calibri-Italic" w:hAnsi="Calibri-Italic" w:cs="Calibri-Italic"/>
          <w:color w:val="000000"/>
        </w:rPr>
        <w:t>sport)</w:t>
      </w:r>
      <w:r w:rsidR="00EA6081">
        <w:rPr>
          <w:rFonts w:ascii="Calibri-Italic" w:hAnsi="Calibri-Italic" w:cs="Calibri-Italic"/>
          <w:color w:val="000000"/>
        </w:rPr>
        <w:t xml:space="preserve"> and call the numbers</w:t>
      </w:r>
      <w:r w:rsidR="006D4A25">
        <w:rPr>
          <w:rFonts w:ascii="Calibri-Italic" w:hAnsi="Calibri-Italic" w:cs="Calibri-Italic"/>
          <w:color w:val="000000"/>
        </w:rPr>
        <w:t xml:space="preserve"> for ED (07 579 8415 for Tauranga and 027 705 8125 for Whakatāne)</w:t>
      </w:r>
      <w:r w:rsidR="009F651F">
        <w:rPr>
          <w:rFonts w:ascii="Calibri-Italic" w:hAnsi="Calibri-Italic" w:cs="Calibri-Italic"/>
          <w:color w:val="000000"/>
        </w:rPr>
        <w:t>.  Someone will</w:t>
      </w:r>
      <w:r w:rsidR="00A635D5">
        <w:rPr>
          <w:rFonts w:ascii="Calibri-Italic" w:hAnsi="Calibri-Italic" w:cs="Calibri-Italic"/>
          <w:color w:val="000000"/>
        </w:rPr>
        <w:t xml:space="preserve"> come out to meet them and </w:t>
      </w:r>
      <w:r w:rsidR="009F651F">
        <w:rPr>
          <w:rFonts w:ascii="Calibri-Italic" w:hAnsi="Calibri-Italic" w:cs="Calibri-Italic"/>
          <w:color w:val="000000"/>
        </w:rPr>
        <w:t>take them directly into isolation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674C75F4" w14:textId="77777777" w:rsidR="009F651F" w:rsidRPr="009F651F" w:rsidRDefault="009F651F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58FC6F73" w14:textId="1D915BEA" w:rsidR="009F651F" w:rsidRPr="00502331" w:rsidRDefault="004E1B70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N95 masks must be worn </w:t>
      </w:r>
      <w:r w:rsidR="008511A5">
        <w:rPr>
          <w:rFonts w:ascii="Calibri-Italic" w:hAnsi="Calibri-Italic" w:cs="Calibri-Italic"/>
          <w:color w:val="000000"/>
        </w:rPr>
        <w:t>by</w:t>
      </w:r>
      <w:r>
        <w:rPr>
          <w:rFonts w:ascii="Calibri-Italic" w:hAnsi="Calibri-Italic" w:cs="Calibri-Italic"/>
          <w:color w:val="000000"/>
        </w:rPr>
        <w:t xml:space="preserve"> all staff in contact with p</w:t>
      </w:r>
      <w:r w:rsidR="00502331">
        <w:rPr>
          <w:rFonts w:ascii="Calibri-Italic" w:hAnsi="Calibri-Italic" w:cs="Calibri-Italic"/>
          <w:color w:val="000000"/>
        </w:rPr>
        <w:t>atients with possible or proven measles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60A8A640" w14:textId="77777777" w:rsidR="00502331" w:rsidRPr="00502331" w:rsidRDefault="00502331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30379DAC" w14:textId="147462BD" w:rsidR="00502331" w:rsidRPr="00F009BA" w:rsidRDefault="00502331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Only staff with known immunity to measles may look after a patient with possible or </w:t>
      </w:r>
      <w:r w:rsidR="00EC7841">
        <w:rPr>
          <w:rFonts w:ascii="Calibri-Italic" w:hAnsi="Calibri-Italic" w:cs="Calibri-Italic"/>
          <w:color w:val="000000"/>
        </w:rPr>
        <w:t xml:space="preserve">proven measles.  Anyone unsure of their immunity should contact </w:t>
      </w:r>
      <w:r w:rsidR="00736DEB">
        <w:rPr>
          <w:rFonts w:ascii="Calibri-Italic" w:hAnsi="Calibri-Italic" w:cs="Calibri-Italic"/>
          <w:color w:val="000000"/>
        </w:rPr>
        <w:t>Occupational H</w:t>
      </w:r>
      <w:r w:rsidR="00EC7841">
        <w:rPr>
          <w:rFonts w:ascii="Calibri-Italic" w:hAnsi="Calibri-Italic" w:cs="Calibri-Italic"/>
          <w:color w:val="000000"/>
        </w:rPr>
        <w:t xml:space="preserve">ealth </w:t>
      </w:r>
      <w:r w:rsidR="00DF465D">
        <w:rPr>
          <w:rFonts w:ascii="Calibri-Italic" w:hAnsi="Calibri-Italic" w:cs="Calibri-Italic"/>
          <w:color w:val="000000"/>
        </w:rPr>
        <w:t>who can check records and vaccinate if needed</w:t>
      </w:r>
      <w:r w:rsidR="00736DEB">
        <w:rPr>
          <w:rFonts w:ascii="Calibri-Italic" w:hAnsi="Calibri-Italic" w:cs="Calibri-Italic"/>
          <w:color w:val="000000"/>
        </w:rPr>
        <w:t>.</w:t>
      </w:r>
      <w:r w:rsidR="00235BDC">
        <w:rPr>
          <w:rFonts w:ascii="Calibri-Italic" w:hAnsi="Calibri-Italic" w:cs="Calibri-Italic"/>
          <w:color w:val="000000"/>
        </w:rPr>
        <w:t xml:space="preserve"> Whilst you’re checking on your immunity check your family have had all their vaccinations and </w:t>
      </w:r>
      <w:r w:rsidR="00F54ABF">
        <w:rPr>
          <w:rFonts w:ascii="Calibri-Italic" w:hAnsi="Calibri-Italic" w:cs="Calibri-Italic"/>
          <w:color w:val="000000"/>
        </w:rPr>
        <w:t>if not get them done – protect all your whānau.</w:t>
      </w:r>
    </w:p>
    <w:p w14:paraId="433BCBC6" w14:textId="77777777" w:rsidR="00F009BA" w:rsidRPr="00F009BA" w:rsidRDefault="00F009BA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67F5293C" w14:textId="0A0E818D" w:rsidR="00F009BA" w:rsidRPr="00DA6CD1" w:rsidRDefault="00F009BA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>Whilst in hospital</w:t>
      </w:r>
      <w:r w:rsidR="009918EC">
        <w:rPr>
          <w:rFonts w:ascii="Calibri-Italic" w:hAnsi="Calibri-Italic" w:cs="Calibri-Italic"/>
          <w:color w:val="000000"/>
        </w:rPr>
        <w:t xml:space="preserve">, unless returning negative tests, patients must remain in </w:t>
      </w:r>
      <w:r w:rsidR="00DA6CD1">
        <w:rPr>
          <w:rFonts w:ascii="Calibri-Italic" w:hAnsi="Calibri-Italic" w:cs="Calibri-Italic"/>
          <w:color w:val="000000"/>
        </w:rPr>
        <w:t>negative pressure isolation</w:t>
      </w:r>
      <w:r w:rsidR="00736DEB">
        <w:rPr>
          <w:rFonts w:ascii="Calibri-Italic" w:hAnsi="Calibri-Italic" w:cs="Calibri-Italic"/>
          <w:color w:val="000000"/>
        </w:rPr>
        <w:t xml:space="preserve"> precautions.</w:t>
      </w:r>
    </w:p>
    <w:p w14:paraId="2F5AC81B" w14:textId="77777777" w:rsidR="00DA6CD1" w:rsidRPr="00DA6CD1" w:rsidRDefault="00DA6CD1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76F8517B" w14:textId="04D83356" w:rsidR="00DA6CD1" w:rsidRPr="00DA6CD1" w:rsidRDefault="00DA6CD1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>Any patient being admitted with suspected or proven measles must be notified to the Infection Prevention and Control</w:t>
      </w:r>
      <w:r w:rsidR="00577A37">
        <w:rPr>
          <w:rFonts w:ascii="Calibri-Italic" w:hAnsi="Calibri-Italic" w:cs="Calibri-Italic"/>
          <w:color w:val="000000"/>
        </w:rPr>
        <w:t xml:space="preserve"> (IPC)</w:t>
      </w:r>
      <w:r>
        <w:rPr>
          <w:rFonts w:ascii="Calibri-Italic" w:hAnsi="Calibri-Italic" w:cs="Calibri-Italic"/>
          <w:color w:val="000000"/>
        </w:rPr>
        <w:t xml:space="preserve"> team</w:t>
      </w:r>
      <w:r w:rsidR="005D45CF">
        <w:rPr>
          <w:rFonts w:ascii="Calibri-Italic" w:hAnsi="Calibri-Italic" w:cs="Calibri-Italic"/>
          <w:color w:val="000000"/>
        </w:rPr>
        <w:t xml:space="preserve">.  Alert </w:t>
      </w:r>
      <w:r w:rsidR="00736DEB">
        <w:rPr>
          <w:rFonts w:ascii="Calibri-Italic" w:hAnsi="Calibri-Italic" w:cs="Calibri-Italic"/>
          <w:color w:val="000000"/>
        </w:rPr>
        <w:t>the Duty Nurse M</w:t>
      </w:r>
      <w:r w:rsidR="005D45CF">
        <w:rPr>
          <w:rFonts w:ascii="Calibri-Italic" w:hAnsi="Calibri-Italic" w:cs="Calibri-Italic"/>
          <w:color w:val="000000"/>
        </w:rPr>
        <w:t>anager of admission</w:t>
      </w:r>
      <w:r w:rsidR="00952B93">
        <w:rPr>
          <w:rFonts w:ascii="Calibri-Italic" w:hAnsi="Calibri-Italic" w:cs="Calibri-Italic"/>
          <w:color w:val="000000"/>
        </w:rPr>
        <w:t xml:space="preserve"> and need for isolation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06FC9475" w14:textId="77777777" w:rsidR="00DA6CD1" w:rsidRPr="00DA6CD1" w:rsidRDefault="00DA6CD1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41C03D4D" w14:textId="57B91C7D" w:rsidR="00DA6CD1" w:rsidRPr="00F71200" w:rsidRDefault="00DA6CD1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Should a current inpatient be suspected or diagnosed with measles </w:t>
      </w:r>
      <w:r w:rsidR="00577A37">
        <w:rPr>
          <w:rFonts w:ascii="Calibri-Italic" w:hAnsi="Calibri-Italic" w:cs="Calibri-Italic"/>
          <w:color w:val="000000"/>
        </w:rPr>
        <w:t>they must be notified immediately to the Medical Officer of Health, IPC</w:t>
      </w:r>
      <w:r w:rsidR="00736DEB">
        <w:rPr>
          <w:rFonts w:ascii="Calibri-Italic" w:hAnsi="Calibri-Italic" w:cs="Calibri-Italic"/>
          <w:color w:val="000000"/>
        </w:rPr>
        <w:t>,</w:t>
      </w:r>
      <w:r w:rsidR="00577A37">
        <w:rPr>
          <w:rFonts w:ascii="Calibri-Italic" w:hAnsi="Calibri-Italic" w:cs="Calibri-Italic"/>
          <w:color w:val="000000"/>
        </w:rPr>
        <w:t xml:space="preserve"> and Infectious Diseases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6E4BEC77" w14:textId="77777777" w:rsidR="00F71200" w:rsidRPr="00F71200" w:rsidRDefault="00F71200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27010C91" w14:textId="742863DD" w:rsidR="00F71200" w:rsidRPr="002A2B5E" w:rsidRDefault="00F71200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Public Health will </w:t>
      </w:r>
      <w:r w:rsidR="002A2B5E">
        <w:rPr>
          <w:rFonts w:ascii="Calibri-Italic" w:hAnsi="Calibri-Italic" w:cs="Calibri-Italic"/>
          <w:color w:val="000000"/>
        </w:rPr>
        <w:t xml:space="preserve">follow up contacts outside hospital and IPC and ID will manage </w:t>
      </w:r>
      <w:r w:rsidR="00736DEB">
        <w:rPr>
          <w:rFonts w:ascii="Calibri-Italic" w:hAnsi="Calibri-Italic" w:cs="Calibri-Italic"/>
          <w:color w:val="000000"/>
        </w:rPr>
        <w:t>in-</w:t>
      </w:r>
      <w:r w:rsidR="002A2B5E">
        <w:rPr>
          <w:rFonts w:ascii="Calibri-Italic" w:hAnsi="Calibri-Italic" w:cs="Calibri-Italic"/>
          <w:color w:val="000000"/>
        </w:rPr>
        <w:t>hospital contacts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458B52D7" w14:textId="77777777" w:rsidR="002A2B5E" w:rsidRPr="002A2B5E" w:rsidRDefault="002A2B5E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54366346" w14:textId="1516F2C2" w:rsidR="002A2B5E" w:rsidRPr="00AE1F8E" w:rsidRDefault="002A2B5E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Consideration should be given to providing </w:t>
      </w:r>
      <w:r w:rsidR="00AC1217">
        <w:rPr>
          <w:rFonts w:ascii="Calibri-Italic" w:hAnsi="Calibri-Italic" w:cs="Calibri-Italic"/>
          <w:color w:val="000000"/>
        </w:rPr>
        <w:t xml:space="preserve">immunoglobulin post-exposure prophylaxis to </w:t>
      </w:r>
      <w:r w:rsidR="00736DEB">
        <w:rPr>
          <w:rFonts w:ascii="Calibri-Italic" w:hAnsi="Calibri-Italic" w:cs="Calibri-Italic"/>
          <w:color w:val="000000"/>
        </w:rPr>
        <w:t>high-risk</w:t>
      </w:r>
      <w:r w:rsidR="00AC1217">
        <w:rPr>
          <w:rFonts w:ascii="Calibri-Italic" w:hAnsi="Calibri-Italic" w:cs="Calibri-Italic"/>
          <w:color w:val="000000"/>
        </w:rPr>
        <w:t xml:space="preserve"> contacts – pregnant, immunosuppressed, </w:t>
      </w:r>
      <w:r w:rsidR="00FF0F91">
        <w:rPr>
          <w:rFonts w:ascii="Calibri-Italic" w:hAnsi="Calibri-Italic" w:cs="Calibri-Italic"/>
          <w:color w:val="000000"/>
        </w:rPr>
        <w:t xml:space="preserve">young children </w:t>
      </w:r>
      <w:r w:rsidR="00D6117C">
        <w:rPr>
          <w:rFonts w:ascii="Calibri-Italic" w:hAnsi="Calibri-Italic" w:cs="Calibri-Italic"/>
          <w:color w:val="000000"/>
        </w:rPr>
        <w:t>(&lt;6 months)</w:t>
      </w:r>
      <w:r w:rsidR="00671226">
        <w:rPr>
          <w:rFonts w:ascii="Calibri-Italic" w:hAnsi="Calibri-Italic" w:cs="Calibri-Italic"/>
          <w:color w:val="000000"/>
        </w:rPr>
        <w:t xml:space="preserve"> – discuss with </w:t>
      </w:r>
      <w:r w:rsidR="00736DEB">
        <w:rPr>
          <w:rFonts w:ascii="Calibri-Italic" w:hAnsi="Calibri-Italic" w:cs="Calibri-Italic"/>
          <w:color w:val="000000"/>
        </w:rPr>
        <w:t>P</w:t>
      </w:r>
      <w:r w:rsidR="00671226">
        <w:rPr>
          <w:rFonts w:ascii="Calibri-Italic" w:hAnsi="Calibri-Italic" w:cs="Calibri-Italic"/>
          <w:color w:val="000000"/>
        </w:rPr>
        <w:t>aediatrics or ID</w:t>
      </w:r>
      <w:r w:rsidR="00E06493">
        <w:rPr>
          <w:rFonts w:ascii="Calibri-Italic" w:hAnsi="Calibri-Italic" w:cs="Calibri-Italic"/>
          <w:color w:val="000000"/>
        </w:rPr>
        <w:t>.  MMR can be given in the first 72 hours after exposure to unimmunised contacts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6BC96F48" w14:textId="77777777" w:rsidR="00AE1F8E" w:rsidRPr="00AE1F8E" w:rsidRDefault="00AE1F8E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6C2BEA53" w14:textId="220F6BCA" w:rsidR="00AE1F8E" w:rsidRPr="00501B3B" w:rsidRDefault="00AE1F8E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Consider giving vitamin A to hospitalised </w:t>
      </w:r>
      <w:r w:rsidR="00501B3B">
        <w:rPr>
          <w:rFonts w:ascii="Calibri-Italic" w:hAnsi="Calibri-Italic" w:cs="Calibri-Italic"/>
          <w:color w:val="000000"/>
        </w:rPr>
        <w:t>children</w:t>
      </w:r>
      <w:r>
        <w:rPr>
          <w:rFonts w:ascii="Calibri-Italic" w:hAnsi="Calibri-Italic" w:cs="Calibri-Italic"/>
          <w:color w:val="000000"/>
        </w:rPr>
        <w:t xml:space="preserve"> </w:t>
      </w:r>
      <w:r w:rsidR="00D25D3D">
        <w:rPr>
          <w:rFonts w:ascii="Calibri-Italic" w:hAnsi="Calibri-Italic" w:cs="Calibri-Italic"/>
          <w:color w:val="000000"/>
        </w:rPr>
        <w:t>in addition to supportive treatment and management of any differential diagnoses whilst waiting for confirmation</w:t>
      </w:r>
      <w:r w:rsidR="00736DEB">
        <w:rPr>
          <w:rFonts w:ascii="Calibri-Italic" w:hAnsi="Calibri-Italic" w:cs="Calibri-Italic"/>
          <w:color w:val="000000"/>
        </w:rPr>
        <w:t>.</w:t>
      </w:r>
    </w:p>
    <w:p w14:paraId="4A93AD8B" w14:textId="77777777" w:rsidR="00501B3B" w:rsidRPr="00501B3B" w:rsidRDefault="00501B3B" w:rsidP="00501B3B">
      <w:pPr>
        <w:pStyle w:val="ListParagraph"/>
        <w:rPr>
          <w:rFonts w:ascii="Calibri-Italic" w:hAnsi="Calibri-Italic" w:cs="Calibri-Italic"/>
          <w:i/>
          <w:iCs/>
          <w:color w:val="000000"/>
        </w:rPr>
      </w:pPr>
    </w:p>
    <w:p w14:paraId="3B968527" w14:textId="77777777" w:rsidR="00501B3B" w:rsidRPr="00FE033F" w:rsidRDefault="00501B3B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ascii="Calibri-Italic" w:hAnsi="Calibri-Italic" w:cs="Calibri-Italic"/>
          <w:i/>
          <w:iCs/>
          <w:color w:val="000000"/>
        </w:rPr>
      </w:pPr>
      <w:r w:rsidRPr="00FE033F">
        <w:rPr>
          <w:rFonts w:ascii="Calibri-Italic" w:hAnsi="Calibri-Italic" w:cs="Calibri-Italic"/>
          <w:i/>
          <w:iCs/>
          <w:color w:val="000000"/>
        </w:rPr>
        <w:t>≥ 12 months: 200,000 IU  (60,000 retinol activity equivalent [RAE])</w:t>
      </w:r>
    </w:p>
    <w:p w14:paraId="187F08B4" w14:textId="77777777" w:rsidR="00501B3B" w:rsidRPr="00FE033F" w:rsidRDefault="00501B3B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ascii="Calibri-Italic" w:hAnsi="Calibri-Italic" w:cs="Calibri-Italic"/>
          <w:i/>
          <w:iCs/>
          <w:color w:val="000000"/>
        </w:rPr>
      </w:pPr>
      <w:r w:rsidRPr="00FE033F">
        <w:rPr>
          <w:rFonts w:ascii="Calibri-Italic" w:hAnsi="Calibri-Italic" w:cs="Calibri-Italic"/>
          <w:i/>
          <w:iCs/>
          <w:color w:val="000000"/>
        </w:rPr>
        <w:t>6-11 months: 100,000 IU (30,000 µg RAE)</w:t>
      </w:r>
    </w:p>
    <w:p w14:paraId="538258C0" w14:textId="37A2BFFE" w:rsidR="00501B3B" w:rsidRPr="00501B3B" w:rsidRDefault="00501B3B" w:rsidP="00501B3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ascii="Calibri-Italic" w:hAnsi="Calibri-Italic" w:cs="Calibri-Italic"/>
          <w:i/>
          <w:iCs/>
          <w:color w:val="000000"/>
        </w:rPr>
      </w:pPr>
      <w:r w:rsidRPr="00FE033F">
        <w:rPr>
          <w:rFonts w:ascii="Calibri-Italic" w:hAnsi="Calibri-Italic" w:cs="Calibri-Italic"/>
          <w:i/>
          <w:iCs/>
          <w:color w:val="000000"/>
        </w:rPr>
        <w:t>&lt; 6 months: 50,000 IU (15,000 µg RAE)</w:t>
      </w:r>
    </w:p>
    <w:p w14:paraId="4261983E" w14:textId="77777777" w:rsidR="002253B6" w:rsidRPr="002253B6" w:rsidRDefault="002253B6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7337E538" w14:textId="5E8CF887" w:rsidR="002253B6" w:rsidRPr="0004407E" w:rsidRDefault="006D07F7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Take an immunisation history from all patients under the age of 50 and offer </w:t>
      </w:r>
      <w:r w:rsidR="00B62286">
        <w:rPr>
          <w:rFonts w:ascii="Calibri-Italic" w:hAnsi="Calibri-Italic" w:cs="Calibri-Italic"/>
          <w:color w:val="000000"/>
        </w:rPr>
        <w:t xml:space="preserve">vaccination to any unimmunised or partially immunised.  This </w:t>
      </w:r>
      <w:r w:rsidR="0004407E">
        <w:rPr>
          <w:rFonts w:ascii="Calibri-Italic" w:hAnsi="Calibri-Italic" w:cs="Calibri-Italic"/>
          <w:color w:val="000000"/>
        </w:rPr>
        <w:t xml:space="preserve">should </w:t>
      </w:r>
      <w:r w:rsidR="00B62286">
        <w:rPr>
          <w:rFonts w:ascii="Calibri-Italic" w:hAnsi="Calibri-Italic" w:cs="Calibri-Italic"/>
          <w:color w:val="000000"/>
        </w:rPr>
        <w:t xml:space="preserve">be provided during inpatient stays in hospital </w:t>
      </w:r>
      <w:r w:rsidR="0004407E">
        <w:rPr>
          <w:rFonts w:ascii="Calibri-Italic" w:hAnsi="Calibri-Italic" w:cs="Calibri-Italic"/>
          <w:color w:val="000000"/>
        </w:rPr>
        <w:t>where possible</w:t>
      </w:r>
      <w:r w:rsidR="00736DEB">
        <w:rPr>
          <w:rFonts w:ascii="Calibri-Italic" w:hAnsi="Calibri-Italic" w:cs="Calibri-Italic"/>
          <w:color w:val="000000"/>
        </w:rPr>
        <w:t>.</w:t>
      </w:r>
      <w:r w:rsidR="00501B3B">
        <w:rPr>
          <w:rFonts w:ascii="Calibri-Italic" w:hAnsi="Calibri-Italic" w:cs="Calibri-Italic"/>
          <w:color w:val="000000"/>
        </w:rPr>
        <w:t xml:space="preserve"> If not staying in providing guidance on where they can go to be immunised </w:t>
      </w:r>
      <w:hyperlink r:id="rId7" w:history="1">
        <w:r w:rsidR="00501B3B" w:rsidRPr="00501B3B">
          <w:rPr>
            <w:rStyle w:val="Hyperlink"/>
            <w:rFonts w:ascii="Calibri-Italic" w:hAnsi="Calibri-Italic" w:cs="Calibri-Italic"/>
          </w:rPr>
          <w:t>Immunisation clinics</w:t>
        </w:r>
      </w:hyperlink>
      <w:r w:rsidR="00501B3B">
        <w:rPr>
          <w:rFonts w:ascii="Calibri-Italic" w:hAnsi="Calibri-Italic" w:cs="Calibri-Italic"/>
          <w:color w:val="000000"/>
        </w:rPr>
        <w:t xml:space="preserve">. </w:t>
      </w:r>
    </w:p>
    <w:p w14:paraId="55950A3B" w14:textId="77777777" w:rsidR="0004407E" w:rsidRPr="0004407E" w:rsidRDefault="0004407E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63C34759" w14:textId="1F03FA72" w:rsidR="0004407E" w:rsidRPr="00952B93" w:rsidRDefault="008B7CBC" w:rsidP="005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color w:val="000000"/>
        </w:rPr>
        <w:t xml:space="preserve">Additional detail available at </w:t>
      </w:r>
      <w:r w:rsidR="00EA7A6A">
        <w:rPr>
          <w:rFonts w:ascii="Calibri-Italic" w:hAnsi="Calibri-Italic" w:cs="Calibri-Italic"/>
          <w:color w:val="000000"/>
        </w:rPr>
        <w:t xml:space="preserve">Midlands </w:t>
      </w:r>
      <w:r w:rsidR="002416E3">
        <w:rPr>
          <w:rFonts w:ascii="Calibri-Italic" w:hAnsi="Calibri-Italic" w:cs="Calibri-Italic"/>
          <w:color w:val="000000"/>
        </w:rPr>
        <w:t xml:space="preserve">Health Pathways </w:t>
      </w:r>
      <w:r w:rsidR="00EA7A6A">
        <w:t xml:space="preserve"> </w:t>
      </w:r>
      <w:hyperlink r:id="rId8" w:history="1">
        <w:r w:rsidR="00EA7A6A" w:rsidRPr="00EA7A6A">
          <w:rPr>
            <w:rStyle w:val="Hyperlink"/>
          </w:rPr>
          <w:t>Midlands Health Pathways</w:t>
        </w:r>
      </w:hyperlink>
      <w:r w:rsidR="00EA7A6A">
        <w:t xml:space="preserve"> (username </w:t>
      </w:r>
      <w:r w:rsidR="00736DEB">
        <w:t>–</w:t>
      </w:r>
      <w:r w:rsidR="00EA7A6A">
        <w:t xml:space="preserve"> midlanduser</w:t>
      </w:r>
      <w:r w:rsidR="00736DEB">
        <w:t>;</w:t>
      </w:r>
      <w:r w:rsidR="00EA7A6A">
        <w:t xml:space="preserve"> password - midlandpassword)</w:t>
      </w:r>
    </w:p>
    <w:p w14:paraId="58491EE6" w14:textId="77777777" w:rsidR="00952B93" w:rsidRPr="00952B93" w:rsidRDefault="00952B93" w:rsidP="00501B3B">
      <w:pPr>
        <w:pStyle w:val="ListParagraph"/>
        <w:jc w:val="both"/>
        <w:rPr>
          <w:rFonts w:ascii="Calibri-Italic" w:hAnsi="Calibri-Italic" w:cs="Calibri-Italic"/>
          <w:i/>
          <w:iCs/>
          <w:color w:val="000000"/>
        </w:rPr>
      </w:pPr>
    </w:p>
    <w:p w14:paraId="5B549E48" w14:textId="2F87A259" w:rsidR="00952B93" w:rsidRDefault="00952B93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b/>
          <w:bCs/>
          <w:color w:val="000000"/>
        </w:rPr>
      </w:pPr>
      <w:r>
        <w:rPr>
          <w:rFonts w:ascii="Calibri-Italic" w:hAnsi="Calibri-Italic" w:cs="Calibri-Italic"/>
          <w:b/>
          <w:bCs/>
          <w:color w:val="000000"/>
        </w:rPr>
        <w:t>Useful resources</w:t>
      </w:r>
    </w:p>
    <w:p w14:paraId="6689F97E" w14:textId="77777777" w:rsidR="008A260D" w:rsidRDefault="008A260D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p w14:paraId="287E8F47" w14:textId="3C41654C" w:rsidR="00952B93" w:rsidRDefault="00EE0B4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hyperlink r:id="rId9" w:history="1">
        <w:r w:rsidRPr="00EE0B41">
          <w:rPr>
            <w:rStyle w:val="Hyperlink"/>
            <w:rFonts w:ascii="Calibri-Italic" w:hAnsi="Calibri-Italic" w:cs="Calibri-Italic"/>
          </w:rPr>
          <w:t>Measles information for healthcare providers in hospital and healthcare settings – Health New Zealand | Te Whatu Ora</w:t>
        </w:r>
      </w:hyperlink>
    </w:p>
    <w:p w14:paraId="3EA9DB33" w14:textId="77777777" w:rsidR="00EE0B41" w:rsidRDefault="00EE0B41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p w14:paraId="7BDF3A39" w14:textId="76B1075C" w:rsidR="00EE0B41" w:rsidRDefault="00856864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hyperlink r:id="rId10" w:history="1">
        <w:r w:rsidRPr="00856864">
          <w:rPr>
            <w:rStyle w:val="Hyperlink"/>
            <w:rFonts w:ascii="Calibri-Italic" w:hAnsi="Calibri-Italic" w:cs="Calibri-Italic"/>
          </w:rPr>
          <w:t>Measles – Health New Zealand | Te Whatu Ora</w:t>
        </w:r>
      </w:hyperlink>
    </w:p>
    <w:p w14:paraId="669512DC" w14:textId="77777777" w:rsidR="00856864" w:rsidRDefault="00856864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p w14:paraId="4FC56988" w14:textId="3A6A2705" w:rsidR="00856864" w:rsidRDefault="007D0C34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hyperlink r:id="rId11" w:history="1">
        <w:r w:rsidRPr="007D0C34">
          <w:rPr>
            <w:rStyle w:val="Hyperlink"/>
            <w:rFonts w:ascii="Calibri-Italic" w:hAnsi="Calibri-Italic" w:cs="Calibri-Italic"/>
          </w:rPr>
          <w:t>Measles</w:t>
        </w:r>
      </w:hyperlink>
      <w:r w:rsidR="00AE3E9D">
        <w:rPr>
          <w:rFonts w:ascii="Calibri-Italic" w:hAnsi="Calibri-Italic" w:cs="Calibri-Italic"/>
          <w:color w:val="000000"/>
        </w:rPr>
        <w:t xml:space="preserve"> info for public</w:t>
      </w:r>
    </w:p>
    <w:p w14:paraId="4D42AEAA" w14:textId="77777777" w:rsidR="008A260D" w:rsidRDefault="008A260D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p w14:paraId="5D21708A" w14:textId="5B2104B7" w:rsidR="008A260D" w:rsidRDefault="008A260D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  <w:hyperlink r:id="rId12" w:history="1">
        <w:r w:rsidRPr="008A260D">
          <w:rPr>
            <w:rStyle w:val="Hyperlink"/>
            <w:rFonts w:ascii="Calibri-Italic" w:hAnsi="Calibri-Italic" w:cs="Calibri-Italic"/>
          </w:rPr>
          <w:t>Measles | Healthify</w:t>
        </w:r>
      </w:hyperlink>
    </w:p>
    <w:p w14:paraId="49660D67" w14:textId="77777777" w:rsidR="00AE3E9D" w:rsidRDefault="00AE3E9D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p w14:paraId="50882B32" w14:textId="180C100E" w:rsidR="00AE3E9D" w:rsidRDefault="00D668AD" w:rsidP="00501B3B">
      <w:pPr>
        <w:autoSpaceDE w:val="0"/>
        <w:autoSpaceDN w:val="0"/>
        <w:adjustRightInd w:val="0"/>
        <w:spacing w:after="0" w:line="240" w:lineRule="auto"/>
        <w:jc w:val="both"/>
      </w:pPr>
      <w:hyperlink r:id="rId13" w:history="1">
        <w:r w:rsidRPr="00D668AD">
          <w:rPr>
            <w:rStyle w:val="Hyperlink"/>
            <w:rFonts w:ascii="Calibri-Italic" w:hAnsi="Calibri-Italic" w:cs="Calibri-Italic"/>
          </w:rPr>
          <w:t>Quick access to measles resources - Factsheets - Immunisation Advisory Centre</w:t>
        </w:r>
      </w:hyperlink>
    </w:p>
    <w:p w14:paraId="60DCBA8E" w14:textId="77777777" w:rsidR="00501B3B" w:rsidRDefault="00501B3B" w:rsidP="00501B3B">
      <w:pPr>
        <w:autoSpaceDE w:val="0"/>
        <w:autoSpaceDN w:val="0"/>
        <w:adjustRightInd w:val="0"/>
        <w:spacing w:after="0" w:line="240" w:lineRule="auto"/>
        <w:jc w:val="both"/>
      </w:pPr>
    </w:p>
    <w:p w14:paraId="6344F5A0" w14:textId="77777777" w:rsidR="00501B3B" w:rsidRPr="00952B93" w:rsidRDefault="00501B3B" w:rsidP="00501B3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000000"/>
        </w:rPr>
      </w:pPr>
      <w:hyperlink r:id="rId14" w:history="1">
        <w:r w:rsidRPr="00420AF4">
          <w:rPr>
            <w:rStyle w:val="Hyperlink"/>
            <w:rFonts w:ascii="Calibri-Italic" w:hAnsi="Calibri-Italic" w:cs="Calibri-Italic"/>
          </w:rPr>
          <w:t>Immunisation clinics</w:t>
        </w:r>
      </w:hyperlink>
      <w:r>
        <w:rPr>
          <w:rFonts w:ascii="Calibri-Italic" w:hAnsi="Calibri-Italic" w:cs="Calibri-Italic"/>
          <w:color w:val="000000"/>
        </w:rPr>
        <w:t xml:space="preserve"> – where to find the nearest place to be immunised</w:t>
      </w:r>
    </w:p>
    <w:p w14:paraId="551F53AF" w14:textId="77777777" w:rsidR="00501B3B" w:rsidRPr="00952B93" w:rsidRDefault="00501B3B" w:rsidP="00501B3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color w:val="000000"/>
        </w:rPr>
      </w:pPr>
    </w:p>
    <w:sectPr w:rsidR="00501B3B" w:rsidRPr="0095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FC5"/>
    <w:multiLevelType w:val="hybridMultilevel"/>
    <w:tmpl w:val="A1A4A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1DE"/>
    <w:multiLevelType w:val="hybridMultilevel"/>
    <w:tmpl w:val="C27EEF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7710"/>
    <w:multiLevelType w:val="hybridMultilevel"/>
    <w:tmpl w:val="D354E60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C5922"/>
    <w:multiLevelType w:val="hybridMultilevel"/>
    <w:tmpl w:val="FBA484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6AD5"/>
    <w:multiLevelType w:val="hybridMultilevel"/>
    <w:tmpl w:val="6A6C08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152CA"/>
    <w:multiLevelType w:val="hybridMultilevel"/>
    <w:tmpl w:val="C7F6C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E70"/>
    <w:multiLevelType w:val="hybridMultilevel"/>
    <w:tmpl w:val="F9B652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D65BE"/>
    <w:multiLevelType w:val="hybridMultilevel"/>
    <w:tmpl w:val="F40ACC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64575"/>
    <w:multiLevelType w:val="hybridMultilevel"/>
    <w:tmpl w:val="C49E71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30240"/>
    <w:multiLevelType w:val="hybridMultilevel"/>
    <w:tmpl w:val="F60EFA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21B9C"/>
    <w:multiLevelType w:val="hybridMultilevel"/>
    <w:tmpl w:val="98B844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375B"/>
    <w:multiLevelType w:val="hybridMultilevel"/>
    <w:tmpl w:val="A76EB2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2490">
    <w:abstractNumId w:val="11"/>
  </w:num>
  <w:num w:numId="2" w16cid:durableId="685406317">
    <w:abstractNumId w:val="1"/>
  </w:num>
  <w:num w:numId="3" w16cid:durableId="863785734">
    <w:abstractNumId w:val="0"/>
  </w:num>
  <w:num w:numId="4" w16cid:durableId="1561793376">
    <w:abstractNumId w:val="5"/>
  </w:num>
  <w:num w:numId="5" w16cid:durableId="813646690">
    <w:abstractNumId w:val="3"/>
  </w:num>
  <w:num w:numId="6" w16cid:durableId="1873614476">
    <w:abstractNumId w:val="4"/>
  </w:num>
  <w:num w:numId="7" w16cid:durableId="519857976">
    <w:abstractNumId w:val="8"/>
  </w:num>
  <w:num w:numId="8" w16cid:durableId="1792478275">
    <w:abstractNumId w:val="6"/>
  </w:num>
  <w:num w:numId="9" w16cid:durableId="857038925">
    <w:abstractNumId w:val="9"/>
  </w:num>
  <w:num w:numId="10" w16cid:durableId="1804762567">
    <w:abstractNumId w:val="10"/>
  </w:num>
  <w:num w:numId="11" w16cid:durableId="543831560">
    <w:abstractNumId w:val="7"/>
  </w:num>
  <w:num w:numId="12" w16cid:durableId="185738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1"/>
    <w:rsid w:val="00040CB3"/>
    <w:rsid w:val="0004407E"/>
    <w:rsid w:val="00053641"/>
    <w:rsid w:val="00085D45"/>
    <w:rsid w:val="000927AF"/>
    <w:rsid w:val="000A62B7"/>
    <w:rsid w:val="000D25D4"/>
    <w:rsid w:val="000D7A0A"/>
    <w:rsid w:val="00113620"/>
    <w:rsid w:val="00133838"/>
    <w:rsid w:val="001549B0"/>
    <w:rsid w:val="001626CF"/>
    <w:rsid w:val="001731A2"/>
    <w:rsid w:val="00182925"/>
    <w:rsid w:val="00194C4A"/>
    <w:rsid w:val="0019553A"/>
    <w:rsid w:val="001A21ED"/>
    <w:rsid w:val="001A2F1C"/>
    <w:rsid w:val="001B1AFF"/>
    <w:rsid w:val="002253B6"/>
    <w:rsid w:val="00235BDC"/>
    <w:rsid w:val="002416E3"/>
    <w:rsid w:val="00250293"/>
    <w:rsid w:val="00290E03"/>
    <w:rsid w:val="00291497"/>
    <w:rsid w:val="002A2B5E"/>
    <w:rsid w:val="002B64AF"/>
    <w:rsid w:val="002C4B38"/>
    <w:rsid w:val="002D524D"/>
    <w:rsid w:val="0033709E"/>
    <w:rsid w:val="003424EC"/>
    <w:rsid w:val="003475D0"/>
    <w:rsid w:val="00366778"/>
    <w:rsid w:val="00367A8A"/>
    <w:rsid w:val="00382BBD"/>
    <w:rsid w:val="003B16D3"/>
    <w:rsid w:val="003B6EE5"/>
    <w:rsid w:val="003D47B2"/>
    <w:rsid w:val="003E1DB5"/>
    <w:rsid w:val="003F7F71"/>
    <w:rsid w:val="00456E62"/>
    <w:rsid w:val="0046651B"/>
    <w:rsid w:val="00474845"/>
    <w:rsid w:val="0048616D"/>
    <w:rsid w:val="004A5565"/>
    <w:rsid w:val="004C0443"/>
    <w:rsid w:val="004E1B70"/>
    <w:rsid w:val="004E5200"/>
    <w:rsid w:val="004E5B8B"/>
    <w:rsid w:val="005010E8"/>
    <w:rsid w:val="00501B3B"/>
    <w:rsid w:val="00502331"/>
    <w:rsid w:val="00515A8F"/>
    <w:rsid w:val="0053224B"/>
    <w:rsid w:val="0053569C"/>
    <w:rsid w:val="00577A37"/>
    <w:rsid w:val="005D45CF"/>
    <w:rsid w:val="005E2BE7"/>
    <w:rsid w:val="0064282C"/>
    <w:rsid w:val="00671226"/>
    <w:rsid w:val="0067413D"/>
    <w:rsid w:val="00681AED"/>
    <w:rsid w:val="00685745"/>
    <w:rsid w:val="006D07F7"/>
    <w:rsid w:val="006D3037"/>
    <w:rsid w:val="006D4A25"/>
    <w:rsid w:val="006E6957"/>
    <w:rsid w:val="006F79C8"/>
    <w:rsid w:val="00712978"/>
    <w:rsid w:val="00714BDD"/>
    <w:rsid w:val="00716C8F"/>
    <w:rsid w:val="007213EC"/>
    <w:rsid w:val="00736DEB"/>
    <w:rsid w:val="007559D0"/>
    <w:rsid w:val="00790468"/>
    <w:rsid w:val="007C1C8F"/>
    <w:rsid w:val="007D0C34"/>
    <w:rsid w:val="007F1FE6"/>
    <w:rsid w:val="00813E9B"/>
    <w:rsid w:val="00823D4E"/>
    <w:rsid w:val="008511A5"/>
    <w:rsid w:val="00856864"/>
    <w:rsid w:val="00866851"/>
    <w:rsid w:val="008A260D"/>
    <w:rsid w:val="008B7CBC"/>
    <w:rsid w:val="008C3289"/>
    <w:rsid w:val="008C37D8"/>
    <w:rsid w:val="008F3A99"/>
    <w:rsid w:val="0091077F"/>
    <w:rsid w:val="0091388C"/>
    <w:rsid w:val="00952B93"/>
    <w:rsid w:val="00965C94"/>
    <w:rsid w:val="00980967"/>
    <w:rsid w:val="009847A5"/>
    <w:rsid w:val="009918EC"/>
    <w:rsid w:val="009B6F1E"/>
    <w:rsid w:val="009C7CBB"/>
    <w:rsid w:val="009C7F64"/>
    <w:rsid w:val="009F651F"/>
    <w:rsid w:val="00A04D64"/>
    <w:rsid w:val="00A10349"/>
    <w:rsid w:val="00A13ACB"/>
    <w:rsid w:val="00A3779A"/>
    <w:rsid w:val="00A623F7"/>
    <w:rsid w:val="00A635D5"/>
    <w:rsid w:val="00AC1217"/>
    <w:rsid w:val="00AE1F8E"/>
    <w:rsid w:val="00AE3E9D"/>
    <w:rsid w:val="00AF2291"/>
    <w:rsid w:val="00AF71E0"/>
    <w:rsid w:val="00AF7B82"/>
    <w:rsid w:val="00B21BE0"/>
    <w:rsid w:val="00B25D19"/>
    <w:rsid w:val="00B37DBB"/>
    <w:rsid w:val="00B532CD"/>
    <w:rsid w:val="00B62286"/>
    <w:rsid w:val="00B82718"/>
    <w:rsid w:val="00BB7E6E"/>
    <w:rsid w:val="00BF5F8E"/>
    <w:rsid w:val="00C24869"/>
    <w:rsid w:val="00C63D2D"/>
    <w:rsid w:val="00C73499"/>
    <w:rsid w:val="00CA50A0"/>
    <w:rsid w:val="00CF5206"/>
    <w:rsid w:val="00D25D3D"/>
    <w:rsid w:val="00D5711B"/>
    <w:rsid w:val="00D6117C"/>
    <w:rsid w:val="00D668AD"/>
    <w:rsid w:val="00D73B9D"/>
    <w:rsid w:val="00D9564D"/>
    <w:rsid w:val="00DA4972"/>
    <w:rsid w:val="00DA6CD1"/>
    <w:rsid w:val="00DD7F00"/>
    <w:rsid w:val="00DF465D"/>
    <w:rsid w:val="00E06493"/>
    <w:rsid w:val="00E06941"/>
    <w:rsid w:val="00E70C71"/>
    <w:rsid w:val="00E732A8"/>
    <w:rsid w:val="00EA6081"/>
    <w:rsid w:val="00EA7A6A"/>
    <w:rsid w:val="00EC7841"/>
    <w:rsid w:val="00ED105C"/>
    <w:rsid w:val="00EE0B41"/>
    <w:rsid w:val="00F009BA"/>
    <w:rsid w:val="00F315FF"/>
    <w:rsid w:val="00F54ABF"/>
    <w:rsid w:val="00F671C2"/>
    <w:rsid w:val="00F71200"/>
    <w:rsid w:val="00F75538"/>
    <w:rsid w:val="00F847D3"/>
    <w:rsid w:val="00FD5E1B"/>
    <w:rsid w:val="00FE5E3D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DF5C"/>
  <w15:docId w15:val="{1F77A59E-967F-4609-8D3F-06F2A96E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E6E"/>
    <w:rPr>
      <w:color w:val="0000FF" w:themeColor="hyperlink"/>
      <w:u w:val="single"/>
    </w:rPr>
  </w:style>
  <w:style w:type="paragraph" w:customStyle="1" w:styleId="Default">
    <w:name w:val="Default"/>
    <w:rsid w:val="00BB7E6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3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9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428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7A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7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land.communityhealthpathways.org/" TargetMode="External"/><Relationship Id="rId13" Type="http://schemas.openxmlformats.org/officeDocument/2006/relationships/hyperlink" Target="https://www.immune.org.nz/factsheets/measles-resources-quick-acc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health.nz/immunisations/immunisation-clinics" TargetMode="External"/><Relationship Id="rId12" Type="http://schemas.openxmlformats.org/officeDocument/2006/relationships/hyperlink" Target="https://healthify.nz/health-a-z/m/meas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.health.nz/conditions-treatments/infectious-diseases/about-measles/measles-locations-of-interest-in-aotearoa-new-zealand" TargetMode="External"/><Relationship Id="rId11" Type="http://schemas.openxmlformats.org/officeDocument/2006/relationships/hyperlink" Target="https://info.health.nz/conditions-treatments/infectious-diseases/about-measles/measles" TargetMode="External"/><Relationship Id="rId5" Type="http://schemas.openxmlformats.org/officeDocument/2006/relationships/hyperlink" Target="https://dermnetnz.org/topics/measl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ewhatuora.govt.nz/for-health-professionals/clinical-guidance/diseases-and-conditions/meas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whatuora.govt.nz/for-health-professionals/clinical-guidance/diseases-and-conditions/measles/measles-healthcare-providers-healthcare-settings" TargetMode="External"/><Relationship Id="rId14" Type="http://schemas.openxmlformats.org/officeDocument/2006/relationships/hyperlink" Target="https://info.health.nz/immunisations/immunisation-clin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Of Plenty District Health Board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Grimwade</dc:creator>
  <cp:lastModifiedBy>Cherie Stevenson</cp:lastModifiedBy>
  <cp:revision>2</cp:revision>
  <dcterms:created xsi:type="dcterms:W3CDTF">2025-11-06T23:18:00Z</dcterms:created>
  <dcterms:modified xsi:type="dcterms:W3CDTF">2025-11-06T23:18:00Z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b490ea-dfa8-4e79-8bcb-fcb6f5d06935_Enabled">
    <vt:lpwstr>true</vt:lpwstr>
  </property>
  <property fmtid="{D5CDD505-2E9C-101B-9397-08002B2CF9AE}" pid="3" name="MSIP_Label_4fb490ea-dfa8-4e79-8bcb-fcb6f5d06935_SetDate">
    <vt:lpwstr>2025-10-27T06:35:55Z</vt:lpwstr>
  </property>
  <property fmtid="{D5CDD505-2E9C-101B-9397-08002B2CF9AE}" pid="4" name="MSIP_Label_4fb490ea-dfa8-4e79-8bcb-fcb6f5d06935_Method">
    <vt:lpwstr>Standard</vt:lpwstr>
  </property>
  <property fmtid="{D5CDD505-2E9C-101B-9397-08002B2CF9AE}" pid="5" name="MSIP_Label_4fb490ea-dfa8-4e79-8bcb-fcb6f5d06935_Name">
    <vt:lpwstr>defa4170-0d19-0005-0004-bc88714345d2</vt:lpwstr>
  </property>
  <property fmtid="{D5CDD505-2E9C-101B-9397-08002B2CF9AE}" pid="6" name="MSIP_Label_4fb490ea-dfa8-4e79-8bcb-fcb6f5d06935_SiteId">
    <vt:lpwstr>1ba54a87-51ab-4e79-8b49-40d5bde395a2</vt:lpwstr>
  </property>
  <property fmtid="{D5CDD505-2E9C-101B-9397-08002B2CF9AE}" pid="7" name="MSIP_Label_4fb490ea-dfa8-4e79-8bcb-fcb6f5d06935_ActionId">
    <vt:lpwstr>44af6ff1-c807-4d87-b155-791f1e466b20</vt:lpwstr>
  </property>
  <property fmtid="{D5CDD505-2E9C-101B-9397-08002B2CF9AE}" pid="8" name="MSIP_Label_4fb490ea-dfa8-4e79-8bcb-fcb6f5d06935_ContentBits">
    <vt:lpwstr>0</vt:lpwstr>
  </property>
  <property fmtid="{D5CDD505-2E9C-101B-9397-08002B2CF9AE}" pid="9" name="MSIP_Label_4fb490ea-dfa8-4e79-8bcb-fcb6f5d06935_Tag">
    <vt:lpwstr>10, 3, 0, 1</vt:lpwstr>
  </property>
</Properties>
</file>